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C1B95" w14:textId="77777777" w:rsidR="00A35327" w:rsidRPr="000F6AD0" w:rsidRDefault="00A35327" w:rsidP="00A35327">
      <w:pPr>
        <w:rPr>
          <w:b/>
        </w:rPr>
      </w:pPr>
      <w:r>
        <w:rPr>
          <w:b/>
        </w:rPr>
        <w:t xml:space="preserve">N. R.G. </w:t>
      </w:r>
    </w:p>
    <w:p w14:paraId="58CAFDB7" w14:textId="77777777" w:rsidR="00A35327" w:rsidRDefault="003D0E21" w:rsidP="00A35327">
      <w:pPr>
        <w:jc w:val="center"/>
        <w:rPr>
          <w:sz w:val="32"/>
          <w:szCs w:val="32"/>
        </w:rPr>
      </w:pPr>
      <w:r>
        <w:rPr>
          <w:noProof/>
        </w:rPr>
        <w:drawing>
          <wp:inline distT="0" distB="0" distL="0" distR="0" wp14:anchorId="6F90B4BF" wp14:editId="1D72F9ED">
            <wp:extent cx="774700" cy="863600"/>
            <wp:effectExtent l="0" t="0" r="6350" b="0"/>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4700" cy="863600"/>
                    </a:xfrm>
                    <a:prstGeom prst="rect">
                      <a:avLst/>
                    </a:prstGeom>
                    <a:noFill/>
                    <a:ln>
                      <a:noFill/>
                    </a:ln>
                  </pic:spPr>
                </pic:pic>
              </a:graphicData>
            </a:graphic>
          </wp:inline>
        </w:drawing>
      </w:r>
    </w:p>
    <w:p w14:paraId="7E744678" w14:textId="77777777" w:rsidR="00A35327" w:rsidRPr="00601D53" w:rsidRDefault="00A35327" w:rsidP="00A35327">
      <w:pPr>
        <w:spacing w:line="360" w:lineRule="auto"/>
        <w:jc w:val="center"/>
        <w:rPr>
          <w:b/>
        </w:rPr>
      </w:pPr>
      <w:r>
        <w:rPr>
          <w:b/>
        </w:rPr>
        <w:t>TRIBUNALE ORDINARIO di LATINA</w:t>
      </w:r>
    </w:p>
    <w:p w14:paraId="4DC06680" w14:textId="77777777" w:rsidR="00A35327" w:rsidRPr="00D505C2" w:rsidRDefault="0099378E" w:rsidP="00A35327">
      <w:pPr>
        <w:spacing w:line="360" w:lineRule="auto"/>
        <w:jc w:val="center"/>
      </w:pPr>
      <w:r>
        <w:t>MOBILIARE di Latina</w:t>
      </w:r>
      <w:r w:rsidR="00A35327" w:rsidRPr="00D505C2">
        <w:t xml:space="preserve"> CIVILE</w:t>
      </w:r>
    </w:p>
    <w:p w14:paraId="69290E8B" w14:textId="77777777" w:rsidR="00A35327" w:rsidRDefault="00A35327" w:rsidP="00A35327">
      <w:pPr>
        <w:spacing w:line="360" w:lineRule="auto"/>
        <w:jc w:val="center"/>
        <w:rPr>
          <w:b/>
          <w:sz w:val="28"/>
          <w:szCs w:val="28"/>
        </w:rPr>
      </w:pPr>
      <w:r>
        <w:rPr>
          <w:sz w:val="28"/>
          <w:szCs w:val="28"/>
        </w:rPr>
        <w:t>n</w:t>
      </w:r>
      <w:r w:rsidRPr="00584799">
        <w:rPr>
          <w:sz w:val="28"/>
          <w:szCs w:val="28"/>
        </w:rPr>
        <w:t>.</w:t>
      </w:r>
      <w:r>
        <w:rPr>
          <w:sz w:val="28"/>
          <w:szCs w:val="28"/>
        </w:rPr>
        <w:t xml:space="preserve"> </w:t>
      </w:r>
      <w:proofErr w:type="spellStart"/>
      <w:r>
        <w:rPr>
          <w:sz w:val="28"/>
          <w:szCs w:val="28"/>
        </w:rPr>
        <w:t>r.g</w:t>
      </w:r>
      <w:proofErr w:type="spellEnd"/>
      <w:r>
        <w:rPr>
          <w:sz w:val="28"/>
          <w:szCs w:val="28"/>
        </w:rPr>
        <w:t>.</w:t>
      </w:r>
      <w:r w:rsidRPr="00584799">
        <w:rPr>
          <w:sz w:val="28"/>
          <w:szCs w:val="28"/>
        </w:rPr>
        <w:t xml:space="preserve"> </w:t>
      </w:r>
    </w:p>
    <w:p w14:paraId="671FE6BA" w14:textId="77777777" w:rsidR="00DB3E38" w:rsidRDefault="00DB3E38" w:rsidP="00DB3E38">
      <w:pPr>
        <w:pStyle w:val="NormaleWeb"/>
        <w:rPr>
          <w:rFonts w:ascii="Verdana" w:hAnsi="Verdana"/>
          <w:color w:val="000000"/>
        </w:rPr>
      </w:pPr>
      <w:r>
        <w:rPr>
          <w:rFonts w:ascii="Verdana" w:hAnsi="Verdana"/>
          <w:color w:val="000000"/>
        </w:rPr>
        <w:t> </w:t>
      </w:r>
    </w:p>
    <w:p w14:paraId="4DE34D8E" w14:textId="77777777" w:rsidR="00DB3E38" w:rsidRDefault="00DB3E38" w:rsidP="00DB3E38">
      <w:pPr>
        <w:pStyle w:val="NormaleWeb"/>
        <w:jc w:val="center"/>
        <w:rPr>
          <w:rFonts w:ascii="Verdana" w:hAnsi="Verdana"/>
          <w:color w:val="000000"/>
        </w:rPr>
      </w:pPr>
      <w:r>
        <w:rPr>
          <w:rFonts w:ascii="Verdana" w:hAnsi="Verdana"/>
          <w:color w:val="000000"/>
        </w:rPr>
        <w:t>VERBALE D’UDIENZA</w:t>
      </w:r>
    </w:p>
    <w:p w14:paraId="24230E37" w14:textId="77777777" w:rsidR="00DB3E38" w:rsidRDefault="00DB3E38" w:rsidP="00DB3E38">
      <w:pPr>
        <w:pStyle w:val="NormaleWeb"/>
        <w:rPr>
          <w:rFonts w:ascii="Verdana" w:hAnsi="Verdana"/>
          <w:color w:val="000000"/>
        </w:rPr>
      </w:pPr>
      <w:r>
        <w:rPr>
          <w:rFonts w:ascii="Verdana" w:hAnsi="Verdana"/>
          <w:color w:val="000000"/>
        </w:rPr>
        <w:t> </w:t>
      </w:r>
    </w:p>
    <w:p w14:paraId="6FE50E59" w14:textId="77777777" w:rsidR="00DB3E38" w:rsidRDefault="00DB3E38" w:rsidP="00DB3E38">
      <w:pPr>
        <w:pStyle w:val="NormaleWeb"/>
        <w:rPr>
          <w:rFonts w:ascii="Verdana" w:hAnsi="Verdana"/>
          <w:color w:val="000000"/>
        </w:rPr>
      </w:pPr>
      <w:r>
        <w:rPr>
          <w:rFonts w:ascii="Verdana" w:hAnsi="Verdana"/>
          <w:color w:val="000000"/>
        </w:rPr>
        <w:t xml:space="preserve">Addì   </w:t>
      </w:r>
      <w:r w:rsidR="00CC5650">
        <w:rPr>
          <w:rFonts w:ascii="Verdana" w:hAnsi="Verdana"/>
          <w:color w:val="000000"/>
        </w:rPr>
        <w:t xml:space="preserve">                    </w:t>
      </w:r>
      <w:r>
        <w:rPr>
          <w:rFonts w:ascii="Verdana" w:hAnsi="Verdana"/>
          <w:color w:val="000000"/>
        </w:rPr>
        <w:t xml:space="preserve"> dinanzi </w:t>
      </w:r>
      <w:proofErr w:type="gramStart"/>
      <w:r>
        <w:rPr>
          <w:rFonts w:ascii="Verdana" w:hAnsi="Verdana"/>
          <w:color w:val="000000"/>
        </w:rPr>
        <w:t>al  Giudice</w:t>
      </w:r>
      <w:proofErr w:type="gramEnd"/>
      <w:r>
        <w:rPr>
          <w:rFonts w:ascii="Verdana" w:hAnsi="Verdana"/>
          <w:color w:val="000000"/>
        </w:rPr>
        <w:t xml:space="preserve"> dott.______________, in funzione di Giudice dell’esecuzione, nel procedimento di esecuzione presso terzi n. r. g. ____________, pendente</w:t>
      </w:r>
    </w:p>
    <w:p w14:paraId="41645947" w14:textId="77777777" w:rsidR="00DB3E38" w:rsidRDefault="00DB3E38" w:rsidP="00DB3E38">
      <w:pPr>
        <w:pStyle w:val="NormaleWeb"/>
        <w:rPr>
          <w:rFonts w:ascii="Verdana" w:hAnsi="Verdana"/>
          <w:color w:val="000000"/>
        </w:rPr>
      </w:pPr>
      <w:r>
        <w:rPr>
          <w:rFonts w:ascii="Verdana" w:hAnsi="Verdana"/>
          <w:color w:val="000000"/>
        </w:rPr>
        <w:t> </w:t>
      </w:r>
    </w:p>
    <w:p w14:paraId="41C1D6D4" w14:textId="77777777" w:rsidR="00DB3E38" w:rsidRDefault="00DB3E38" w:rsidP="00DB3E38">
      <w:pPr>
        <w:pStyle w:val="NormaleWeb"/>
        <w:jc w:val="center"/>
        <w:rPr>
          <w:rFonts w:ascii="Verdana" w:hAnsi="Verdana"/>
          <w:color w:val="000000"/>
        </w:rPr>
      </w:pPr>
      <w:r>
        <w:rPr>
          <w:rFonts w:ascii="Verdana" w:hAnsi="Verdana"/>
          <w:color w:val="000000"/>
        </w:rPr>
        <w:t>TRA</w:t>
      </w:r>
    </w:p>
    <w:p w14:paraId="445B5B48" w14:textId="77777777" w:rsidR="00DB3E38" w:rsidRDefault="00DB3E38" w:rsidP="00DB3E38">
      <w:pPr>
        <w:pStyle w:val="NormaleWeb"/>
        <w:rPr>
          <w:rFonts w:ascii="Verdana" w:hAnsi="Verdana"/>
          <w:color w:val="000000"/>
        </w:rPr>
      </w:pPr>
      <w:r>
        <w:rPr>
          <w:rFonts w:ascii="Verdana" w:hAnsi="Verdana"/>
          <w:color w:val="000000"/>
        </w:rPr>
        <w:t>______, rappresentato dell’avv. ___</w:t>
      </w:r>
      <w:r w:rsidR="00CC5650">
        <w:rPr>
          <w:rFonts w:ascii="Verdana" w:hAnsi="Verdana"/>
          <w:color w:val="000000"/>
        </w:rPr>
        <w:t xml:space="preserve"> </w:t>
      </w:r>
      <w:r>
        <w:rPr>
          <w:rFonts w:ascii="Verdana" w:hAnsi="Verdana"/>
          <w:color w:val="000000"/>
        </w:rPr>
        <w:t>__________</w:t>
      </w:r>
    </w:p>
    <w:p w14:paraId="7FC9B1F1" w14:textId="77777777" w:rsidR="00DB3E38" w:rsidRDefault="00DB3E38" w:rsidP="00DB3E38">
      <w:pPr>
        <w:pStyle w:val="NormaleWeb"/>
        <w:jc w:val="right"/>
        <w:rPr>
          <w:rFonts w:ascii="Verdana" w:hAnsi="Verdana"/>
          <w:color w:val="000000"/>
        </w:rPr>
      </w:pPr>
      <w:r>
        <w:rPr>
          <w:rFonts w:ascii="Verdana" w:hAnsi="Verdana"/>
          <w:color w:val="000000"/>
        </w:rPr>
        <w:t>CREDITORE PROCEDENTE</w:t>
      </w:r>
    </w:p>
    <w:p w14:paraId="77BC741E" w14:textId="77777777" w:rsidR="00DB3E38" w:rsidRDefault="00DB3E38" w:rsidP="00DB3E38">
      <w:pPr>
        <w:pStyle w:val="NormaleWeb"/>
        <w:jc w:val="center"/>
        <w:rPr>
          <w:rFonts w:ascii="Verdana" w:hAnsi="Verdana"/>
          <w:color w:val="000000"/>
        </w:rPr>
      </w:pPr>
      <w:r>
        <w:rPr>
          <w:rFonts w:ascii="Verdana" w:hAnsi="Verdana"/>
          <w:color w:val="000000"/>
        </w:rPr>
        <w:t>CONTRO</w:t>
      </w:r>
    </w:p>
    <w:p w14:paraId="13BF8F9F" w14:textId="77777777" w:rsidR="00DB3E38" w:rsidRDefault="00DB3E38" w:rsidP="00DB3E38">
      <w:pPr>
        <w:pStyle w:val="NormaleWeb"/>
        <w:rPr>
          <w:rFonts w:ascii="Verdana" w:hAnsi="Verdana"/>
          <w:color w:val="000000"/>
        </w:rPr>
      </w:pPr>
      <w:r>
        <w:rPr>
          <w:rFonts w:ascii="Verdana" w:hAnsi="Verdana"/>
          <w:color w:val="000000"/>
        </w:rPr>
        <w:t>________ _______________________</w:t>
      </w:r>
    </w:p>
    <w:p w14:paraId="36F58FD1" w14:textId="77777777" w:rsidR="00DB3E38" w:rsidRDefault="00DB3E38" w:rsidP="00DB3E38">
      <w:pPr>
        <w:pStyle w:val="NormaleWeb"/>
        <w:jc w:val="right"/>
        <w:rPr>
          <w:rFonts w:ascii="Verdana" w:hAnsi="Verdana"/>
          <w:color w:val="000000"/>
        </w:rPr>
      </w:pPr>
      <w:r>
        <w:rPr>
          <w:rFonts w:ascii="Verdana" w:hAnsi="Verdana"/>
          <w:color w:val="000000"/>
        </w:rPr>
        <w:t>DEBITORE ESECUTATO</w:t>
      </w:r>
    </w:p>
    <w:p w14:paraId="059B2297" w14:textId="77777777" w:rsidR="00DB3E38" w:rsidRDefault="00DB3E38" w:rsidP="00DB3E38">
      <w:pPr>
        <w:pStyle w:val="NormaleWeb"/>
        <w:jc w:val="center"/>
        <w:rPr>
          <w:rFonts w:ascii="Verdana" w:hAnsi="Verdana"/>
          <w:color w:val="000000"/>
        </w:rPr>
      </w:pPr>
      <w:r>
        <w:rPr>
          <w:rFonts w:ascii="Verdana" w:hAnsi="Verdana"/>
          <w:color w:val="000000"/>
        </w:rPr>
        <w:t>NONCHE’ CONTRO</w:t>
      </w:r>
    </w:p>
    <w:p w14:paraId="2B8AB048" w14:textId="77777777" w:rsidR="00DB3E38" w:rsidRDefault="00DB3E38" w:rsidP="00DB3E38">
      <w:pPr>
        <w:pStyle w:val="NormaleWeb"/>
        <w:rPr>
          <w:rFonts w:ascii="Verdana" w:hAnsi="Verdana"/>
          <w:color w:val="000000"/>
        </w:rPr>
      </w:pPr>
      <w:r>
        <w:rPr>
          <w:rFonts w:ascii="Verdana" w:hAnsi="Verdana"/>
          <w:color w:val="000000"/>
        </w:rPr>
        <w:t>TERZO/I PIGNORATO/I       </w:t>
      </w:r>
    </w:p>
    <w:p w14:paraId="02998131" w14:textId="77777777" w:rsidR="00DB3E38" w:rsidRDefault="00DB3E38" w:rsidP="00DB3E38">
      <w:pPr>
        <w:pStyle w:val="NormaleWeb"/>
        <w:rPr>
          <w:rFonts w:ascii="Verdana" w:hAnsi="Verdana"/>
          <w:color w:val="000000"/>
        </w:rPr>
      </w:pPr>
      <w:r>
        <w:rPr>
          <w:rFonts w:ascii="Verdana" w:hAnsi="Verdana"/>
          <w:color w:val="000000"/>
        </w:rPr>
        <w:t> </w:t>
      </w:r>
    </w:p>
    <w:p w14:paraId="55FDEFC5" w14:textId="77777777" w:rsidR="00DB3E38" w:rsidRDefault="00DB3E38" w:rsidP="00DB3E38">
      <w:pPr>
        <w:pStyle w:val="NormaleWeb"/>
        <w:rPr>
          <w:rFonts w:ascii="Verdana" w:hAnsi="Verdana"/>
          <w:color w:val="000000"/>
        </w:rPr>
      </w:pPr>
      <w:proofErr w:type="gramStart"/>
      <w:r>
        <w:rPr>
          <w:rFonts w:ascii="Verdana" w:hAnsi="Verdana"/>
          <w:color w:val="000000"/>
        </w:rPr>
        <w:t>E’</w:t>
      </w:r>
      <w:proofErr w:type="gramEnd"/>
      <w:r>
        <w:rPr>
          <w:rFonts w:ascii="Verdana" w:hAnsi="Verdana"/>
          <w:color w:val="000000"/>
        </w:rPr>
        <w:t xml:space="preserve"> presente </w:t>
      </w:r>
    </w:p>
    <w:p w14:paraId="09E4308A" w14:textId="77777777" w:rsidR="00DB3E38" w:rsidRDefault="00DB3E38" w:rsidP="00DB3E38">
      <w:pPr>
        <w:pStyle w:val="NormaleWeb"/>
        <w:rPr>
          <w:rFonts w:ascii="Verdana" w:hAnsi="Verdana"/>
          <w:color w:val="000000"/>
        </w:rPr>
      </w:pPr>
      <w:r>
        <w:rPr>
          <w:rFonts w:ascii="Verdana" w:hAnsi="Verdana"/>
          <w:color w:val="000000"/>
        </w:rPr>
        <w:t> </w:t>
      </w:r>
    </w:p>
    <w:p w14:paraId="1226CBB1" w14:textId="77777777" w:rsidR="00DB3E38" w:rsidRDefault="00DB3E38" w:rsidP="00DB3E38">
      <w:pPr>
        <w:pStyle w:val="NormaleWeb"/>
        <w:rPr>
          <w:rFonts w:ascii="Verdana" w:hAnsi="Verdana"/>
          <w:color w:val="000000"/>
        </w:rPr>
      </w:pPr>
      <w:r>
        <w:rPr>
          <w:rFonts w:ascii="Verdana" w:hAnsi="Verdana"/>
          <w:color w:val="000000"/>
        </w:rPr>
        <w:t>                                                 Il GIUDICE</w:t>
      </w:r>
    </w:p>
    <w:p w14:paraId="7561098F" w14:textId="77777777" w:rsidR="00227AD9" w:rsidRPr="00087C8C" w:rsidRDefault="00DB3E38" w:rsidP="00227AD9">
      <w:pPr>
        <w:shd w:val="clear" w:color="auto" w:fill="FFFFFF"/>
        <w:spacing w:line="360" w:lineRule="auto"/>
        <w:jc w:val="both"/>
        <w:rPr>
          <w:color w:val="000000"/>
        </w:rPr>
      </w:pPr>
      <w:r>
        <w:rPr>
          <w:color w:val="000000"/>
          <w:bdr w:val="none" w:sz="0" w:space="0" w:color="auto" w:frame="1"/>
        </w:rPr>
        <w:t>T</w:t>
      </w:r>
      <w:r w:rsidR="00227AD9" w:rsidRPr="00220C51">
        <w:rPr>
          <w:color w:val="000000"/>
          <w:bdr w:val="none" w:sz="0" w:space="0" w:color="auto" w:frame="1"/>
        </w:rPr>
        <w:t>enuto conto che, di recente, le Sezioni Unite della Corte di Cassazione</w:t>
      </w:r>
      <w:r w:rsidR="00227AD9">
        <w:rPr>
          <w:color w:val="000000"/>
          <w:bdr w:val="none" w:sz="0" w:space="0" w:color="auto" w:frame="1"/>
        </w:rPr>
        <w:t xml:space="preserve"> </w:t>
      </w:r>
      <w:r w:rsidR="00227AD9" w:rsidRPr="00220C51">
        <w:rPr>
          <w:color w:val="000000"/>
          <w:bdr w:val="none" w:sz="0" w:space="0" w:color="auto" w:frame="1"/>
        </w:rPr>
        <w:t>(Cass.</w:t>
      </w:r>
      <w:r w:rsidR="00227AD9">
        <w:rPr>
          <w:color w:val="000000"/>
          <w:bdr w:val="none" w:sz="0" w:space="0" w:color="auto" w:frame="1"/>
        </w:rPr>
        <w:t xml:space="preserve"> civ.</w:t>
      </w:r>
      <w:r w:rsidR="00227AD9" w:rsidRPr="00220C51">
        <w:rPr>
          <w:color w:val="000000"/>
          <w:bdr w:val="none" w:sz="0" w:space="0" w:color="auto" w:frame="1"/>
        </w:rPr>
        <w:t xml:space="preserve">, </w:t>
      </w:r>
      <w:r w:rsidR="00227AD9">
        <w:rPr>
          <w:color w:val="000000"/>
          <w:bdr w:val="none" w:sz="0" w:space="0" w:color="auto" w:frame="1"/>
        </w:rPr>
        <w:t>SS.UU.</w:t>
      </w:r>
      <w:r w:rsidR="00227AD9" w:rsidRPr="00220C51">
        <w:rPr>
          <w:color w:val="000000"/>
          <w:bdr w:val="none" w:sz="0" w:space="0" w:color="auto" w:frame="1"/>
        </w:rPr>
        <w:t xml:space="preserve">, </w:t>
      </w:r>
      <w:r w:rsidR="00227AD9">
        <w:rPr>
          <w:color w:val="000000"/>
          <w:bdr w:val="none" w:sz="0" w:space="0" w:color="auto" w:frame="1"/>
        </w:rPr>
        <w:t xml:space="preserve">n. </w:t>
      </w:r>
      <w:r w:rsidR="00227AD9" w:rsidRPr="00220C51">
        <w:rPr>
          <w:color w:val="000000"/>
          <w:bdr w:val="none" w:sz="0" w:space="0" w:color="auto" w:frame="1"/>
        </w:rPr>
        <w:t xml:space="preserve">9479/2023) hanno sancito i </w:t>
      </w:r>
      <w:r w:rsidR="00227AD9">
        <w:rPr>
          <w:color w:val="000000"/>
          <w:bdr w:val="none" w:sz="0" w:space="0" w:color="auto" w:frame="1"/>
        </w:rPr>
        <w:t xml:space="preserve">principi </w:t>
      </w:r>
      <w:r w:rsidR="00227AD9" w:rsidRPr="00220C51">
        <w:rPr>
          <w:color w:val="000000"/>
          <w:bdr w:val="none" w:sz="0" w:space="0" w:color="auto" w:frame="1"/>
        </w:rPr>
        <w:t>seguenti: </w:t>
      </w:r>
    </w:p>
    <w:p w14:paraId="26B89EFF" w14:textId="77777777" w:rsidR="00227AD9" w:rsidRPr="00087C8C" w:rsidRDefault="00227AD9" w:rsidP="00227AD9">
      <w:pPr>
        <w:numPr>
          <w:ilvl w:val="0"/>
          <w:numId w:val="2"/>
        </w:numPr>
        <w:shd w:val="clear" w:color="auto" w:fill="FFFFFF"/>
        <w:spacing w:line="360" w:lineRule="auto"/>
        <w:jc w:val="both"/>
        <w:rPr>
          <w:color w:val="000000"/>
        </w:rPr>
      </w:pPr>
      <w:r>
        <w:rPr>
          <w:color w:val="000000"/>
          <w:bdr w:val="none" w:sz="0" w:space="0" w:color="auto" w:frame="1"/>
        </w:rPr>
        <w:lastRenderedPageBreak/>
        <w:t>a</w:t>
      </w:r>
      <w:r w:rsidRPr="00220C51">
        <w:rPr>
          <w:color w:val="000000"/>
          <w:bdr w:val="none" w:sz="0" w:space="0" w:color="auto" w:frame="1"/>
        </w:rPr>
        <w:t>i fini del rispetto del principio di effettività della tutela giurisdizionale dei diritti riconosciuti al consumatore dalla direttiva 93/13/CEE, concernente le clausole abusive dei contratti stipulati tra un professionista e un consumatore, e dalle sentenze della CGUE del 17 maggio 2022, nel caso in cui il decreto ingiuntivo non opposto, su cui sia fondata l'esecuzione o l'intervento del creditore, non sia motivato in ordine al carattere non abusivo delle clausole del contratto fonte del credito oggetto d'ingiunzione, il giudice dell'esecuzione ha il dovere di controllare d'ufficio l'eventuale carattere abusivo delle clausole che incidono sulla sussistenza o sull'entità del credito azionato, nel contraddittorio e previa instaurazione di una sommaria istruttoria, a prescindere dalla proposizione di un'opposizione esecutiva (potendo, ove non adito prima dalle parti, dare atto, nel provvedimento di fissazione dell'udienza, della mancanza di motivazione del decreto ingiuntivo e invitare il creditore, procedente o intervenuto, a produrre il contratto); il giudice dell'esecuzione è altresì tenuto a informare le parti dell'esito del controllo svolto - avvertendo il consumatore che entro quaranta giorni da tale informazione ha facoltà di proporre opposizione al decreto ingiuntivo ai sensi dell'art. 650 c.p.c., esclusivamente per far accertare il carattere abusivo delle clausole incidenti sul credito oggetto di ingiunzione - e a soprassedere alla vendita o all'assegnazione del bene o del credito fino alla vana scadenza del predetto termine o alle determinazioni del giudice dell'opposizione s</w:t>
      </w:r>
      <w:r>
        <w:rPr>
          <w:color w:val="000000"/>
          <w:bdr w:val="none" w:sz="0" w:space="0" w:color="auto" w:frame="1"/>
        </w:rPr>
        <w:t>ull'istanza ex art. 649 c.p.c.;</w:t>
      </w:r>
    </w:p>
    <w:p w14:paraId="13B873C8" w14:textId="77777777" w:rsidR="00227AD9" w:rsidRPr="00087C8C" w:rsidRDefault="00227AD9" w:rsidP="00227AD9">
      <w:pPr>
        <w:numPr>
          <w:ilvl w:val="0"/>
          <w:numId w:val="2"/>
        </w:numPr>
        <w:shd w:val="clear" w:color="auto" w:fill="FFFFFF"/>
        <w:spacing w:line="360" w:lineRule="auto"/>
        <w:jc w:val="both"/>
        <w:rPr>
          <w:color w:val="000000"/>
        </w:rPr>
      </w:pPr>
      <w:r>
        <w:rPr>
          <w:color w:val="000000"/>
          <w:bdr w:val="none" w:sz="0" w:space="0" w:color="auto" w:frame="1"/>
        </w:rPr>
        <w:t>a</w:t>
      </w:r>
      <w:r w:rsidRPr="00220C51">
        <w:rPr>
          <w:color w:val="000000"/>
          <w:bdr w:val="none" w:sz="0" w:space="0" w:color="auto" w:frame="1"/>
        </w:rPr>
        <w:t xml:space="preserve">i fini del rispetto del principio di effettività della tutela giurisdizionale dei diritti riconosciuti al consumatore dalla direttiva 93/13/CEE, concernente le clausole abusive dei contratti stipulati tra un professionista e un consumatore, e dalle sentenze della CGUE del 17 maggio 2022, quando il titolo azionato è un decreto ingiuntivo non opposto e non motivato sul carattere non abusivo delle clausole del contratto che è fonte del credito ingiunto, ferma la rilevabilità d'ufficio della nullità di protezione, l'opposizione all'esecuzione ex art. 615, comma 1, c.p.c. proposta dal debitore per far valere l'abusività delle clausole va riqualificata come opposizione tardiva ex art. 650 c.p.c. e rimessa alla decisione del giudice di questa, operando la </w:t>
      </w:r>
      <w:r w:rsidRPr="007B5135">
        <w:rPr>
          <w:i/>
          <w:color w:val="000000"/>
          <w:bdr w:val="none" w:sz="0" w:space="0" w:color="auto" w:frame="1"/>
        </w:rPr>
        <w:t>"</w:t>
      </w:r>
      <w:proofErr w:type="spellStart"/>
      <w:r w:rsidRPr="007B5135">
        <w:rPr>
          <w:i/>
          <w:color w:val="000000"/>
          <w:bdr w:val="none" w:sz="0" w:space="0" w:color="auto" w:frame="1"/>
        </w:rPr>
        <w:t>translatio</w:t>
      </w:r>
      <w:proofErr w:type="spellEnd"/>
      <w:r w:rsidRPr="007B5135">
        <w:rPr>
          <w:i/>
          <w:color w:val="000000"/>
          <w:bdr w:val="none" w:sz="0" w:space="0" w:color="auto" w:frame="1"/>
        </w:rPr>
        <w:t xml:space="preserve"> </w:t>
      </w:r>
      <w:proofErr w:type="spellStart"/>
      <w:r w:rsidRPr="007B5135">
        <w:rPr>
          <w:i/>
          <w:color w:val="000000"/>
          <w:bdr w:val="none" w:sz="0" w:space="0" w:color="auto" w:frame="1"/>
        </w:rPr>
        <w:t>iudicii</w:t>
      </w:r>
      <w:proofErr w:type="spellEnd"/>
      <w:r w:rsidRPr="007B5135">
        <w:rPr>
          <w:i/>
          <w:color w:val="000000"/>
          <w:bdr w:val="none" w:sz="0" w:space="0" w:color="auto" w:frame="1"/>
        </w:rPr>
        <w:t>"</w:t>
      </w:r>
      <w:r w:rsidRPr="00220C51">
        <w:rPr>
          <w:color w:val="000000"/>
          <w:bdr w:val="none" w:sz="0" w:space="0" w:color="auto" w:frame="1"/>
        </w:rPr>
        <w:t>; nella medesima ipotesi, se il debitore ha proposto l'opposizione ex art. 615, comma 2, c.p.c. per far valere l'abusività di una clausola, il giudice dell'esecuzione deve dare termine di 40 giorni per proporre l'opposizione tardiva ex art. 650 c.p.c. (se del caso anche rilevando l'abusività di altre clausole), senza procedere alla vendita o all'assegnazione del bene o del credito sino alle determinazioni del giudice dell'opposizione tardiva s</w:t>
      </w:r>
      <w:r>
        <w:rPr>
          <w:color w:val="000000"/>
          <w:bdr w:val="none" w:sz="0" w:space="0" w:color="auto" w:frame="1"/>
        </w:rPr>
        <w:t>ull'istanza ex art. 649 c.p.c.;</w:t>
      </w:r>
    </w:p>
    <w:p w14:paraId="263E7CA6" w14:textId="77777777" w:rsidR="00227AD9" w:rsidRPr="00DB2318" w:rsidRDefault="00227AD9" w:rsidP="00227AD9">
      <w:pPr>
        <w:numPr>
          <w:ilvl w:val="0"/>
          <w:numId w:val="2"/>
        </w:numPr>
        <w:shd w:val="clear" w:color="auto" w:fill="FFFFFF"/>
        <w:spacing w:line="360" w:lineRule="auto"/>
        <w:jc w:val="both"/>
      </w:pPr>
      <w:r>
        <w:rPr>
          <w:color w:val="000000"/>
          <w:bdr w:val="none" w:sz="0" w:space="0" w:color="auto" w:frame="1"/>
        </w:rPr>
        <w:t>a</w:t>
      </w:r>
      <w:r w:rsidRPr="00DB2318">
        <w:rPr>
          <w:color w:val="000000"/>
          <w:bdr w:val="none" w:sz="0" w:space="0" w:color="auto" w:frame="1"/>
        </w:rPr>
        <w:t xml:space="preserve">i fini del rispetto del principio di effettività della tutela giurisdizionale dei diritti riconosciuti al consumatore dalla direttiva 93/13/CEE, concernente le clausole abusive dei </w:t>
      </w:r>
      <w:r w:rsidRPr="00DB2318">
        <w:rPr>
          <w:color w:val="000000"/>
          <w:bdr w:val="none" w:sz="0" w:space="0" w:color="auto" w:frame="1"/>
        </w:rPr>
        <w:lastRenderedPageBreak/>
        <w:t>contratti stipulati tra un professionista e un consumatore, e dalle sentenze della CGUE del 17 maggio 2022, l'opposizione tardiva (ex art. 650 c.p.c.) al decreto ingiuntivo non motivato in ordine al carattere non abusivo delle clausole del contratto fonte del diritto azionato in via monitoria può riguardare esclusivamente il profilo di abusività di dette clausole; conseguentemente, il giudice dell'opposizione ha il potere (ex art. 649 c.p.c.) di sospendere, in tutto o in parte, l'esecutorietà del provvedimento monitorio a seconda degli effetti che l'accertamento sull'abusività delle clausole negoziali potrebbe compo</w:t>
      </w:r>
      <w:r>
        <w:rPr>
          <w:color w:val="000000"/>
          <w:bdr w:val="none" w:sz="0" w:space="0" w:color="auto" w:frame="1"/>
        </w:rPr>
        <w:t>rtare sul titolo giudiziale;</w:t>
      </w:r>
    </w:p>
    <w:p w14:paraId="4640C099" w14:textId="77777777" w:rsidR="00227AD9" w:rsidRPr="003052EA" w:rsidRDefault="00227AD9" w:rsidP="00227AD9">
      <w:pPr>
        <w:numPr>
          <w:ilvl w:val="0"/>
          <w:numId w:val="2"/>
        </w:numPr>
        <w:shd w:val="clear" w:color="auto" w:fill="FFFFFF"/>
        <w:spacing w:line="360" w:lineRule="auto"/>
        <w:jc w:val="both"/>
      </w:pPr>
      <w:r w:rsidRPr="00DB2318">
        <w:rPr>
          <w:color w:val="000000"/>
          <w:bdr w:val="none" w:sz="0" w:space="0" w:color="auto" w:frame="1"/>
        </w:rPr>
        <w:t xml:space="preserve">ai fini del rispetto del principio di effettività della tutela giurisdizionale dei diritti riconosciuti al consumatore dalla direttiva 93/13/CEE, concernente le clausole abusive dei contratti stipulati tra un professionista e un consumatore, e dalle sentenze della CGUE del 17 maggio 2022, il giudice del procedimento monitorio, nella fase </w:t>
      </w:r>
      <w:r w:rsidRPr="00DB2318">
        <w:rPr>
          <w:i/>
          <w:color w:val="000000"/>
          <w:bdr w:val="none" w:sz="0" w:space="0" w:color="auto" w:frame="1"/>
        </w:rPr>
        <w:t>"inaudita altera parte"</w:t>
      </w:r>
      <w:r w:rsidRPr="00DB2318">
        <w:rPr>
          <w:color w:val="000000"/>
          <w:bdr w:val="none" w:sz="0" w:space="0" w:color="auto" w:frame="1"/>
        </w:rPr>
        <w:t xml:space="preserve">, deve esaminare d'ufficio l'eventuale carattere abusivo delle clausole rilevanti rispetto all'oggetto della domanda - esercitando, a tal fine, i poteri istruttori di cui all'art. 640 c.p.c. (richiedendo la produzione di documenti o i chiarimenti necessari, anche in ordine alla qualifica di consumatore del debitore) - e motivare sinteticamente l'esito negativo di tale controllo nel decreto ingiuntivo, nonché, con lo stesso provvedimento, avvertire il debitore che, in assenza di opposizione, decadrà dalla possibilità di far valere l'eventuale carattere abusivo delle clausole del contratto e che il decreto non opposto diventerà irrevocabile; lo stesso giudice deve, invece, rigettare, in tutto o in parte, il ricorso, salva la </w:t>
      </w:r>
      <w:proofErr w:type="spellStart"/>
      <w:r w:rsidRPr="00DB2318">
        <w:rPr>
          <w:color w:val="000000"/>
          <w:bdr w:val="none" w:sz="0" w:space="0" w:color="auto" w:frame="1"/>
        </w:rPr>
        <w:t>riproponibilità</w:t>
      </w:r>
      <w:proofErr w:type="spellEnd"/>
      <w:r w:rsidRPr="00DB2318">
        <w:rPr>
          <w:color w:val="000000"/>
          <w:bdr w:val="none" w:sz="0" w:space="0" w:color="auto" w:frame="1"/>
        </w:rPr>
        <w:t xml:space="preserve"> della domanda, se il predetto controllo abbia esito positivo oppure se l'accertamento della vessatorietà imponga un'istruzione probatoria (quale quella tramite l'assunzione di testimonianze o l'espletamento di </w:t>
      </w:r>
      <w:proofErr w:type="spellStart"/>
      <w:r w:rsidRPr="00DB2318">
        <w:rPr>
          <w:color w:val="000000"/>
          <w:bdr w:val="none" w:sz="0" w:space="0" w:color="auto" w:frame="1"/>
        </w:rPr>
        <w:t>c.t.u</w:t>
      </w:r>
      <w:proofErr w:type="spellEnd"/>
      <w:r w:rsidRPr="00DB2318">
        <w:rPr>
          <w:color w:val="000000"/>
          <w:bdr w:val="none" w:sz="0" w:space="0" w:color="auto" w:frame="1"/>
        </w:rPr>
        <w:t>.) incompatibile col procedimento monitorio, </w:t>
      </w:r>
      <w:r w:rsidRPr="00087C8C">
        <w:rPr>
          <w:color w:val="000000"/>
        </w:rPr>
        <w:br/>
      </w:r>
      <w:r>
        <w:rPr>
          <w:color w:val="000000"/>
          <w:bdr w:val="none" w:sz="0" w:space="0" w:color="auto" w:frame="1"/>
        </w:rPr>
        <w:t xml:space="preserve">Rilevato che il debitore esecutato sembra potersi qualificare come consumatore con possibile presenza di clausole vessatorie , </w:t>
      </w:r>
      <w:r w:rsidRPr="00DB2318">
        <w:rPr>
          <w:color w:val="000000"/>
          <w:bdr w:val="none" w:sz="0" w:space="0" w:color="auto" w:frame="1"/>
        </w:rPr>
        <w:t>ritenuto necessario, alla luce dell’o</w:t>
      </w:r>
      <w:r>
        <w:rPr>
          <w:color w:val="000000"/>
          <w:bdr w:val="none" w:sz="0" w:space="0" w:color="auto" w:frame="1"/>
        </w:rPr>
        <w:t>rientamento giurisprudenziale sopra</w:t>
      </w:r>
      <w:r w:rsidRPr="00DB2318">
        <w:rPr>
          <w:color w:val="000000"/>
          <w:bdr w:val="none" w:sz="0" w:space="0" w:color="auto" w:frame="1"/>
        </w:rPr>
        <w:t xml:space="preserve"> </w:t>
      </w:r>
      <w:r>
        <w:rPr>
          <w:color w:val="000000"/>
          <w:bdr w:val="none" w:sz="0" w:space="0" w:color="auto" w:frame="1"/>
        </w:rPr>
        <w:t>richiama</w:t>
      </w:r>
      <w:r w:rsidRPr="00DB2318">
        <w:rPr>
          <w:color w:val="000000"/>
          <w:bdr w:val="none" w:sz="0" w:space="0" w:color="auto" w:frame="1"/>
        </w:rPr>
        <w:t>to, ordinare al creditore procedente di depositare il contratto sotteso al decreto ingiuntivo azionato in via esecutiva</w:t>
      </w:r>
      <w:r>
        <w:rPr>
          <w:color w:val="000000"/>
          <w:bdr w:val="none" w:sz="0" w:space="0" w:color="auto" w:frame="1"/>
        </w:rPr>
        <w:t>,  ove non vi abbia già provveduto, ed in caso di ingiunzione contro un fideiussore anche il deposito della visura storica della società in favore della quale la fideiussione sia stata rilasciata, al fine di verificare l’effettiva qualità di consumatore dell’esecutato;</w:t>
      </w:r>
      <w:r w:rsidRPr="00087C8C">
        <w:rPr>
          <w:color w:val="000000"/>
        </w:rPr>
        <w:br/>
      </w:r>
      <w:r w:rsidRPr="00DB2318">
        <w:rPr>
          <w:color w:val="000000"/>
          <w:bdr w:val="none" w:sz="0" w:space="0" w:color="auto" w:frame="1"/>
        </w:rPr>
        <w:t>riten</w:t>
      </w:r>
      <w:r>
        <w:rPr>
          <w:color w:val="000000"/>
          <w:bdr w:val="none" w:sz="0" w:space="0" w:color="auto" w:frame="1"/>
        </w:rPr>
        <w:t>uto necessario rinviare il procedimento esecutivo</w:t>
      </w:r>
      <w:r w:rsidRPr="00DB2318">
        <w:rPr>
          <w:color w:val="000000"/>
          <w:bdr w:val="none" w:sz="0" w:space="0" w:color="auto" w:frame="1"/>
        </w:rPr>
        <w:t xml:space="preserve"> ad altra udienza, anche al fine di consentire al debitore esecutato di proporre l’eventuale opposizione tardiva ex art. 650 c.p.c.</w:t>
      </w:r>
      <w:r>
        <w:rPr>
          <w:color w:val="000000"/>
          <w:bdr w:val="none" w:sz="0" w:space="0" w:color="auto" w:frame="1"/>
        </w:rPr>
        <w:t xml:space="preserve"> con termine decorrente dall’avvenuto deposito del contratto se avvenuto successivamente alla notifica della presente ordinanza, altrimenti dalla notifica medesima </w:t>
      </w:r>
      <w:r w:rsidRPr="00DB2318">
        <w:rPr>
          <w:color w:val="000000"/>
          <w:bdr w:val="none" w:sz="0" w:space="0" w:color="auto" w:frame="1"/>
        </w:rPr>
        <w:t>; </w:t>
      </w:r>
      <w:r w:rsidRPr="00087C8C">
        <w:rPr>
          <w:color w:val="000000"/>
        </w:rPr>
        <w:br/>
      </w:r>
      <w:r w:rsidRPr="00DB2318">
        <w:rPr>
          <w:b/>
          <w:color w:val="000000"/>
          <w:bdr w:val="none" w:sz="0" w:space="0" w:color="auto" w:frame="1"/>
        </w:rPr>
        <w:t xml:space="preserve">                                                                    P.Q.M.</w:t>
      </w:r>
      <w:r w:rsidRPr="00DB2318">
        <w:rPr>
          <w:color w:val="000000"/>
          <w:bdr w:val="none" w:sz="0" w:space="0" w:color="auto" w:frame="1"/>
        </w:rPr>
        <w:t> </w:t>
      </w:r>
      <w:r w:rsidRPr="00087C8C">
        <w:rPr>
          <w:color w:val="000000"/>
        </w:rPr>
        <w:br/>
      </w:r>
      <w:r w:rsidRPr="00DB2318">
        <w:rPr>
          <w:color w:val="000000"/>
          <w:bdr w:val="none" w:sz="0" w:space="0" w:color="auto" w:frame="1"/>
        </w:rPr>
        <w:lastRenderedPageBreak/>
        <w:t xml:space="preserve">- assegna alla creditrice procedente </w:t>
      </w:r>
      <w:r>
        <w:rPr>
          <w:color w:val="000000"/>
          <w:bdr w:val="none" w:sz="0" w:space="0" w:color="auto" w:frame="1"/>
        </w:rPr>
        <w:t xml:space="preserve">    </w:t>
      </w:r>
      <w:r w:rsidRPr="00DB2318">
        <w:rPr>
          <w:color w:val="000000"/>
          <w:bdr w:val="none" w:sz="0" w:space="0" w:color="auto" w:frame="1"/>
        </w:rPr>
        <w:t> </w:t>
      </w:r>
      <w:r w:rsidRPr="00744445">
        <w:rPr>
          <w:b/>
          <w:color w:val="000000"/>
          <w:u w:val="single"/>
          <w:bdr w:val="none" w:sz="0" w:space="0" w:color="auto" w:frame="1"/>
        </w:rPr>
        <w:t xml:space="preserve">termine fino al </w:t>
      </w:r>
      <w:r w:rsidR="00CC5650">
        <w:rPr>
          <w:b/>
          <w:color w:val="000000"/>
          <w:u w:val="single"/>
          <w:bdr w:val="none" w:sz="0" w:space="0" w:color="auto" w:frame="1"/>
        </w:rPr>
        <w:t xml:space="preserve">                   </w:t>
      </w:r>
      <w:r>
        <w:rPr>
          <w:color w:val="000000"/>
          <w:bdr w:val="none" w:sz="0" w:space="0" w:color="auto" w:frame="1"/>
        </w:rPr>
        <w:t>per il deposito telematico del dei  contratti  e dell’eventuale visura ., sottesi</w:t>
      </w:r>
      <w:r w:rsidRPr="00DB2318">
        <w:rPr>
          <w:color w:val="000000"/>
          <w:bdr w:val="none" w:sz="0" w:space="0" w:color="auto" w:frame="1"/>
        </w:rPr>
        <w:t xml:space="preserve"> al decreto ingiuntivo </w:t>
      </w:r>
      <w:r>
        <w:rPr>
          <w:color w:val="000000"/>
          <w:bdr w:val="none" w:sz="0" w:space="0" w:color="auto" w:frame="1"/>
        </w:rPr>
        <w:t>azionato come titolo esecutivo</w:t>
      </w:r>
      <w:r w:rsidRPr="00DB2318">
        <w:rPr>
          <w:color w:val="000000"/>
          <w:bdr w:val="none" w:sz="0" w:space="0" w:color="auto" w:frame="1"/>
        </w:rPr>
        <w:t>,</w:t>
      </w:r>
      <w:r>
        <w:rPr>
          <w:color w:val="000000"/>
          <w:bdr w:val="none" w:sz="0" w:space="0" w:color="auto" w:frame="1"/>
        </w:rPr>
        <w:t xml:space="preserve"> non opposto dalla</w:t>
      </w:r>
      <w:r w:rsidRPr="00DB2318">
        <w:rPr>
          <w:color w:val="000000"/>
          <w:bdr w:val="none" w:sz="0" w:space="0" w:color="auto" w:frame="1"/>
        </w:rPr>
        <w:t xml:space="preserve"> </w:t>
      </w:r>
      <w:r>
        <w:rPr>
          <w:color w:val="000000"/>
          <w:bdr w:val="none" w:sz="0" w:space="0" w:color="auto" w:frame="1"/>
        </w:rPr>
        <w:t>parte</w:t>
      </w:r>
      <w:r w:rsidRPr="00DB2318">
        <w:rPr>
          <w:color w:val="000000"/>
          <w:bdr w:val="none" w:sz="0" w:space="0" w:color="auto" w:frame="1"/>
        </w:rPr>
        <w:t xml:space="preserve"> debitrice - assegna alla creditrice procedente </w:t>
      </w:r>
      <w:r w:rsidRPr="00744445">
        <w:rPr>
          <w:b/>
          <w:color w:val="000000"/>
          <w:u w:val="single"/>
          <w:bdr w:val="none" w:sz="0" w:space="0" w:color="auto" w:frame="1"/>
        </w:rPr>
        <w:t xml:space="preserve">termine fino al </w:t>
      </w:r>
      <w:r w:rsidR="00CC5650">
        <w:rPr>
          <w:b/>
          <w:color w:val="000000"/>
          <w:u w:val="single"/>
          <w:bdr w:val="none" w:sz="0" w:space="0" w:color="auto" w:frame="1"/>
        </w:rPr>
        <w:t xml:space="preserve">  </w:t>
      </w:r>
      <w:r w:rsidRPr="00DB2318">
        <w:rPr>
          <w:color w:val="000000"/>
          <w:bdr w:val="none" w:sz="0" w:space="0" w:color="auto" w:frame="1"/>
        </w:rPr>
        <w:t>per la notifica</w:t>
      </w:r>
      <w:r>
        <w:rPr>
          <w:color w:val="000000"/>
          <w:bdr w:val="none" w:sz="0" w:space="0" w:color="auto" w:frame="1"/>
        </w:rPr>
        <w:t>zione</w:t>
      </w:r>
      <w:r w:rsidRPr="00DB2318">
        <w:rPr>
          <w:color w:val="000000"/>
          <w:bdr w:val="none" w:sz="0" w:space="0" w:color="auto" w:frame="1"/>
        </w:rPr>
        <w:t xml:space="preserve"> della presente ordi</w:t>
      </w:r>
      <w:r>
        <w:rPr>
          <w:color w:val="000000"/>
          <w:bdr w:val="none" w:sz="0" w:space="0" w:color="auto" w:frame="1"/>
        </w:rPr>
        <w:t xml:space="preserve">nanza alla debitrice esecutata (ove non già costituita ) notifica che in caso di omessa elezione di domicilio ed in mancanza di valida </w:t>
      </w:r>
      <w:proofErr w:type="spellStart"/>
      <w:r>
        <w:rPr>
          <w:color w:val="000000"/>
          <w:bdr w:val="none" w:sz="0" w:space="0" w:color="auto" w:frame="1"/>
        </w:rPr>
        <w:t>pec</w:t>
      </w:r>
      <w:proofErr w:type="spellEnd"/>
      <w:r>
        <w:rPr>
          <w:color w:val="000000"/>
          <w:bdr w:val="none" w:sz="0" w:space="0" w:color="auto" w:frame="1"/>
        </w:rPr>
        <w:t>, può essere effettuata anche in cancelleria.</w:t>
      </w:r>
    </w:p>
    <w:p w14:paraId="3D2994AF" w14:textId="77777777" w:rsidR="00A35327" w:rsidRPr="006C6E41" w:rsidRDefault="00227AD9" w:rsidP="00F325DF">
      <w:pPr>
        <w:numPr>
          <w:ilvl w:val="0"/>
          <w:numId w:val="2"/>
        </w:numPr>
        <w:shd w:val="clear" w:color="auto" w:fill="FFFFFF"/>
        <w:spacing w:line="360" w:lineRule="auto"/>
        <w:jc w:val="both"/>
      </w:pPr>
      <w:r w:rsidRPr="00087C8C">
        <w:rPr>
          <w:color w:val="000000"/>
        </w:rPr>
        <w:br/>
      </w:r>
      <w:r w:rsidR="00DB3E38">
        <w:rPr>
          <w:color w:val="000000"/>
          <w:bdr w:val="none" w:sz="0" w:space="0" w:color="auto" w:frame="1"/>
        </w:rPr>
        <w:t xml:space="preserve">conferma </w:t>
      </w:r>
      <w:proofErr w:type="gramStart"/>
      <w:r w:rsidR="00DB3E38">
        <w:rPr>
          <w:color w:val="000000"/>
          <w:bdr w:val="none" w:sz="0" w:space="0" w:color="auto" w:frame="1"/>
        </w:rPr>
        <w:t xml:space="preserve">il </w:t>
      </w:r>
      <w:r w:rsidRPr="00DB2318">
        <w:rPr>
          <w:color w:val="000000"/>
          <w:bdr w:val="none" w:sz="0" w:space="0" w:color="auto" w:frame="1"/>
        </w:rPr>
        <w:t xml:space="preserve"> rinvi</w:t>
      </w:r>
      <w:r w:rsidR="00DB3E38">
        <w:rPr>
          <w:color w:val="000000"/>
          <w:bdr w:val="none" w:sz="0" w:space="0" w:color="auto" w:frame="1"/>
        </w:rPr>
        <w:t>o</w:t>
      </w:r>
      <w:proofErr w:type="gramEnd"/>
      <w:r w:rsidRPr="00DB2318">
        <w:rPr>
          <w:color w:val="000000"/>
          <w:bdr w:val="none" w:sz="0" w:space="0" w:color="auto" w:frame="1"/>
        </w:rPr>
        <w:t xml:space="preserve"> all’udienza del </w:t>
      </w:r>
      <w:r w:rsidR="00CC5650">
        <w:rPr>
          <w:color w:val="000000"/>
          <w:bdr w:val="none" w:sz="0" w:space="0" w:color="auto" w:frame="1"/>
        </w:rPr>
        <w:t xml:space="preserve">                              </w:t>
      </w:r>
      <w:r w:rsidRPr="00DB2318">
        <w:rPr>
          <w:color w:val="000000"/>
          <w:bdr w:val="none" w:sz="0" w:space="0" w:color="auto" w:frame="1"/>
        </w:rPr>
        <w:t>, all’esito della quale, nell’ipotesi di mancata proposizione dell’opposizione tardiva </w:t>
      </w:r>
      <w:r w:rsidRPr="00DB2318">
        <w:rPr>
          <w:i/>
          <w:iCs/>
          <w:color w:val="000000"/>
          <w:bdr w:val="none" w:sz="0" w:space="0" w:color="auto" w:frame="1"/>
        </w:rPr>
        <w:t>ex</w:t>
      </w:r>
      <w:r w:rsidRPr="00DB2318">
        <w:rPr>
          <w:color w:val="000000"/>
          <w:bdr w:val="none" w:sz="0" w:space="0" w:color="auto" w:frame="1"/>
        </w:rPr>
        <w:t> art. 650 c.p.c.,</w:t>
      </w:r>
      <w:r>
        <w:rPr>
          <w:color w:val="000000"/>
          <w:bdr w:val="none" w:sz="0" w:space="0" w:color="auto" w:frame="1"/>
        </w:rPr>
        <w:t xml:space="preserve"> ( possibile esclusivamente per l’impugnativa di clausole vessatorie abusive )  che dovrà essere dichiarata dall’esecutante, </w:t>
      </w:r>
      <w:r w:rsidRPr="00DB2318">
        <w:rPr>
          <w:color w:val="000000"/>
          <w:bdr w:val="none" w:sz="0" w:space="0" w:color="auto" w:frame="1"/>
        </w:rPr>
        <w:t xml:space="preserve"> si provvederà all’assegnazione delle somme in favore del creditore procedente. </w:t>
      </w:r>
      <w:r w:rsidRPr="00087C8C">
        <w:rPr>
          <w:color w:val="000000"/>
        </w:rPr>
        <w:br/>
      </w:r>
      <w:r w:rsidR="00A35327">
        <w:t>Il Giudice</w:t>
      </w:r>
    </w:p>
    <w:p w14:paraId="7F39D503" w14:textId="77777777" w:rsidR="00A35327" w:rsidRPr="006C6E41" w:rsidRDefault="00A35327" w:rsidP="00A35327">
      <w:pPr>
        <w:keepNext/>
        <w:keepLine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17715"/>
        </w:tabs>
        <w:jc w:val="center"/>
      </w:pPr>
      <w:r>
        <w:t xml:space="preserve">             </w:t>
      </w:r>
    </w:p>
    <w:p w14:paraId="68ADD351" w14:textId="77777777" w:rsidR="005150C7" w:rsidRPr="00A35327" w:rsidRDefault="005150C7" w:rsidP="00A35327"/>
    <w:sectPr w:rsidR="005150C7" w:rsidRPr="00A35327" w:rsidSect="00D505C2">
      <w:headerReference w:type="default" r:id="rId8"/>
      <w:footerReference w:type="default" r:id="rId9"/>
      <w:pgSz w:w="11906" w:h="16838"/>
      <w:pgMar w:top="1417" w:right="1134" w:bottom="1134" w:left="1134" w:header="708" w:footer="1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65364" w14:textId="77777777" w:rsidR="003A4488" w:rsidRDefault="003A4488">
      <w:r>
        <w:separator/>
      </w:r>
    </w:p>
  </w:endnote>
  <w:endnote w:type="continuationSeparator" w:id="0">
    <w:p w14:paraId="192FB400" w14:textId="77777777" w:rsidR="003A4488" w:rsidRDefault="003A4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88340" w14:textId="77777777" w:rsidR="00D505C2" w:rsidRPr="00B644CA" w:rsidRDefault="00D505C2" w:rsidP="00D505C2">
    <w:pPr>
      <w:pStyle w:val="Intestazione"/>
      <w:jc w:val="right"/>
      <w:rPr>
        <w:sz w:val="20"/>
        <w:szCs w:val="20"/>
      </w:rPr>
    </w:pPr>
    <w:r>
      <w:rPr>
        <w:sz w:val="20"/>
        <w:szCs w:val="20"/>
      </w:rPr>
      <w:t>pagina</w:t>
    </w:r>
    <w:r w:rsidR="0062008F">
      <w:rPr>
        <w:rStyle w:val="Numeropagina"/>
      </w:rPr>
      <w:fldChar w:fldCharType="begin"/>
    </w:r>
    <w:r>
      <w:rPr>
        <w:rStyle w:val="Numeropagina"/>
      </w:rPr>
      <w:instrText xml:space="preserve"> PAGE </w:instrText>
    </w:r>
    <w:r w:rsidR="0062008F">
      <w:rPr>
        <w:rStyle w:val="Numeropagina"/>
      </w:rPr>
      <w:fldChar w:fldCharType="separate"/>
    </w:r>
    <w:r w:rsidR="00CC5650">
      <w:rPr>
        <w:rStyle w:val="Numeropagina"/>
        <w:noProof/>
      </w:rPr>
      <w:t>4</w:t>
    </w:r>
    <w:r w:rsidR="0062008F">
      <w:rPr>
        <w:rStyle w:val="Numeropagina"/>
      </w:rPr>
      <w:fldChar w:fldCharType="end"/>
    </w:r>
    <w:r>
      <w:rPr>
        <w:rStyle w:val="Numeropagina"/>
      </w:rPr>
      <w:t xml:space="preserve"> di </w:t>
    </w:r>
    <w:r w:rsidR="0062008F">
      <w:rPr>
        <w:rStyle w:val="Numeropagina"/>
      </w:rPr>
      <w:fldChar w:fldCharType="begin"/>
    </w:r>
    <w:r>
      <w:rPr>
        <w:rStyle w:val="Numeropagina"/>
      </w:rPr>
      <w:instrText xml:space="preserve"> NUMPAGES </w:instrText>
    </w:r>
    <w:r w:rsidR="0062008F">
      <w:rPr>
        <w:rStyle w:val="Numeropagina"/>
      </w:rPr>
      <w:fldChar w:fldCharType="separate"/>
    </w:r>
    <w:r w:rsidR="00CC5650">
      <w:rPr>
        <w:rStyle w:val="Numeropagina"/>
        <w:noProof/>
      </w:rPr>
      <w:t>4</w:t>
    </w:r>
    <w:r w:rsidR="0062008F">
      <w:rPr>
        <w:rStyle w:val="Numeropagina"/>
      </w:rPr>
      <w:fldChar w:fldCharType="end"/>
    </w:r>
  </w:p>
  <w:p w14:paraId="070FDBBC" w14:textId="77777777" w:rsidR="00D505C2" w:rsidRDefault="00D505C2" w:rsidP="00D505C2">
    <w:pPr>
      <w:pStyle w:val="Pidipa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41C88" w14:textId="77777777" w:rsidR="003A4488" w:rsidRDefault="003A4488">
      <w:r>
        <w:separator/>
      </w:r>
    </w:p>
  </w:footnote>
  <w:footnote w:type="continuationSeparator" w:id="0">
    <w:p w14:paraId="3D448630" w14:textId="77777777" w:rsidR="003A4488" w:rsidRDefault="003A44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F788B" w14:textId="77777777" w:rsidR="00B644CA" w:rsidRPr="00D505C2" w:rsidRDefault="00B644CA" w:rsidP="00D505C2">
    <w:pPr>
      <w:pStyle w:val="Intestazione"/>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A31BFE"/>
    <w:multiLevelType w:val="multilevel"/>
    <w:tmpl w:val="31D4F8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233CDC"/>
    <w:multiLevelType w:val="hybridMultilevel"/>
    <w:tmpl w:val="2E980282"/>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16cid:durableId="1761296903">
    <w:abstractNumId w:val="1"/>
  </w:num>
  <w:num w:numId="2" w16cid:durableId="1059671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306"/>
    <w:rsid w:val="000355AD"/>
    <w:rsid w:val="00045EDF"/>
    <w:rsid w:val="000D61FC"/>
    <w:rsid w:val="000F0DAC"/>
    <w:rsid w:val="000F6AD0"/>
    <w:rsid w:val="0014520C"/>
    <w:rsid w:val="00183804"/>
    <w:rsid w:val="0018395D"/>
    <w:rsid w:val="00195942"/>
    <w:rsid w:val="001A2FBA"/>
    <w:rsid w:val="001B357F"/>
    <w:rsid w:val="001C41C9"/>
    <w:rsid w:val="001E4E42"/>
    <w:rsid w:val="001F4041"/>
    <w:rsid w:val="001F5C68"/>
    <w:rsid w:val="001F7CB3"/>
    <w:rsid w:val="00227AD9"/>
    <w:rsid w:val="00322D10"/>
    <w:rsid w:val="00363FBB"/>
    <w:rsid w:val="003A4488"/>
    <w:rsid w:val="003A4B53"/>
    <w:rsid w:val="003D0E21"/>
    <w:rsid w:val="003D1E9B"/>
    <w:rsid w:val="003D63E4"/>
    <w:rsid w:val="00470FE4"/>
    <w:rsid w:val="004B2525"/>
    <w:rsid w:val="004C05DA"/>
    <w:rsid w:val="004D5654"/>
    <w:rsid w:val="00507616"/>
    <w:rsid w:val="005150C7"/>
    <w:rsid w:val="00517314"/>
    <w:rsid w:val="005566E2"/>
    <w:rsid w:val="00584799"/>
    <w:rsid w:val="005967C8"/>
    <w:rsid w:val="005C4E5D"/>
    <w:rsid w:val="00601D53"/>
    <w:rsid w:val="00611348"/>
    <w:rsid w:val="0061278E"/>
    <w:rsid w:val="0062008F"/>
    <w:rsid w:val="00646B32"/>
    <w:rsid w:val="00681DC3"/>
    <w:rsid w:val="006C6E41"/>
    <w:rsid w:val="006C70C5"/>
    <w:rsid w:val="007418AB"/>
    <w:rsid w:val="00742FC8"/>
    <w:rsid w:val="007949F9"/>
    <w:rsid w:val="007A34C3"/>
    <w:rsid w:val="007E5F5E"/>
    <w:rsid w:val="00801FC1"/>
    <w:rsid w:val="00842E85"/>
    <w:rsid w:val="008562F0"/>
    <w:rsid w:val="008C4DA5"/>
    <w:rsid w:val="008C5F95"/>
    <w:rsid w:val="00961D7D"/>
    <w:rsid w:val="00986E67"/>
    <w:rsid w:val="0099378E"/>
    <w:rsid w:val="009A7791"/>
    <w:rsid w:val="00A058DA"/>
    <w:rsid w:val="00A35327"/>
    <w:rsid w:val="00AF5A48"/>
    <w:rsid w:val="00B0157C"/>
    <w:rsid w:val="00B2747E"/>
    <w:rsid w:val="00B644CA"/>
    <w:rsid w:val="00BA6131"/>
    <w:rsid w:val="00BF0091"/>
    <w:rsid w:val="00C30306"/>
    <w:rsid w:val="00C93669"/>
    <w:rsid w:val="00C95F64"/>
    <w:rsid w:val="00CC252A"/>
    <w:rsid w:val="00CC5650"/>
    <w:rsid w:val="00D066E8"/>
    <w:rsid w:val="00D46B26"/>
    <w:rsid w:val="00D505C2"/>
    <w:rsid w:val="00D5145A"/>
    <w:rsid w:val="00DB3E38"/>
    <w:rsid w:val="00DF06E7"/>
    <w:rsid w:val="00E12EE2"/>
    <w:rsid w:val="00E5716D"/>
    <w:rsid w:val="00E6708F"/>
    <w:rsid w:val="00E8661A"/>
    <w:rsid w:val="00F16CF8"/>
    <w:rsid w:val="00F2202F"/>
    <w:rsid w:val="00F325DF"/>
    <w:rsid w:val="00FF74D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A2008"/>
  <w15:docId w15:val="{34C48DCB-388F-4D54-9957-A361BB72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3D63E4"/>
    <w:rPr>
      <w:sz w:val="24"/>
      <w:szCs w:val="24"/>
    </w:rPr>
  </w:style>
  <w:style w:type="paragraph" w:styleId="Titolo1">
    <w:name w:val="heading 1"/>
    <w:basedOn w:val="Normale"/>
    <w:next w:val="Normale"/>
    <w:link w:val="Titolo1Carattere"/>
    <w:qFormat/>
    <w:rsid w:val="00227AD9"/>
    <w:pPr>
      <w:keepNext/>
      <w:spacing w:line="360" w:lineRule="auto"/>
      <w:jc w:val="center"/>
      <w:outlineLvl w:val="0"/>
    </w:pPr>
    <w:rPr>
      <w:sz w:val="40"/>
      <w:szCs w:val="20"/>
    </w:rPr>
  </w:style>
  <w:style w:type="paragraph" w:styleId="Titolo2">
    <w:name w:val="heading 2"/>
    <w:basedOn w:val="Normale"/>
    <w:next w:val="Normale"/>
    <w:link w:val="Titolo2Carattere"/>
    <w:semiHidden/>
    <w:unhideWhenUsed/>
    <w:qFormat/>
    <w:rsid w:val="00DB3E38"/>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semiHidden/>
    <w:unhideWhenUsed/>
    <w:qFormat/>
    <w:rsid w:val="00DB3E38"/>
    <w:pPr>
      <w:keepNext/>
      <w:spacing w:before="240" w:after="60"/>
      <w:outlineLvl w:val="2"/>
    </w:pPr>
    <w:rPr>
      <w:rFonts w:asciiTheme="majorHAnsi" w:eastAsiaTheme="majorEastAsia" w:hAnsiTheme="majorHAnsi" w:cstheme="majorBidi"/>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B644CA"/>
    <w:pPr>
      <w:tabs>
        <w:tab w:val="center" w:pos="4819"/>
        <w:tab w:val="right" w:pos="9638"/>
      </w:tabs>
    </w:pPr>
  </w:style>
  <w:style w:type="paragraph" w:styleId="Pidipagina">
    <w:name w:val="footer"/>
    <w:basedOn w:val="Normale"/>
    <w:rsid w:val="00B644CA"/>
    <w:pPr>
      <w:tabs>
        <w:tab w:val="center" w:pos="4819"/>
        <w:tab w:val="right" w:pos="9638"/>
      </w:tabs>
    </w:pPr>
  </w:style>
  <w:style w:type="character" w:styleId="Numeropagina">
    <w:name w:val="page number"/>
    <w:basedOn w:val="Carpredefinitoparagrafo"/>
    <w:rsid w:val="00B644CA"/>
  </w:style>
  <w:style w:type="paragraph" w:styleId="Testofumetto">
    <w:name w:val="Balloon Text"/>
    <w:basedOn w:val="Normale"/>
    <w:semiHidden/>
    <w:rsid w:val="001B357F"/>
    <w:rPr>
      <w:rFonts w:ascii="Tahoma" w:hAnsi="Tahoma" w:cs="Tahoma"/>
      <w:sz w:val="16"/>
      <w:szCs w:val="16"/>
    </w:rPr>
  </w:style>
  <w:style w:type="character" w:customStyle="1" w:styleId="Titolo1Carattere">
    <w:name w:val="Titolo 1 Carattere"/>
    <w:basedOn w:val="Carpredefinitoparagrafo"/>
    <w:link w:val="Titolo1"/>
    <w:rsid w:val="00227AD9"/>
    <w:rPr>
      <w:sz w:val="40"/>
    </w:rPr>
  </w:style>
  <w:style w:type="character" w:customStyle="1" w:styleId="Titolo2Carattere">
    <w:name w:val="Titolo 2 Carattere"/>
    <w:basedOn w:val="Carpredefinitoparagrafo"/>
    <w:link w:val="Titolo2"/>
    <w:semiHidden/>
    <w:rsid w:val="00DB3E38"/>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semiHidden/>
    <w:rsid w:val="00DB3E38"/>
    <w:rPr>
      <w:rFonts w:asciiTheme="majorHAnsi" w:eastAsiaTheme="majorEastAsia" w:hAnsiTheme="majorHAnsi" w:cstheme="majorBidi"/>
      <w:b/>
      <w:bCs/>
      <w:sz w:val="26"/>
      <w:szCs w:val="26"/>
    </w:rPr>
  </w:style>
  <w:style w:type="paragraph" w:styleId="NormaleWeb">
    <w:name w:val="Normal (Web)"/>
    <w:basedOn w:val="Normale"/>
    <w:uiPriority w:val="99"/>
    <w:semiHidden/>
    <w:unhideWhenUsed/>
    <w:rsid w:val="00DB3E3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577603">
      <w:bodyDiv w:val="1"/>
      <w:marLeft w:val="0"/>
      <w:marRight w:val="0"/>
      <w:marTop w:val="0"/>
      <w:marBottom w:val="0"/>
      <w:divBdr>
        <w:top w:val="none" w:sz="0" w:space="0" w:color="auto"/>
        <w:left w:val="none" w:sz="0" w:space="0" w:color="auto"/>
        <w:bottom w:val="none" w:sz="0" w:space="0" w:color="auto"/>
        <w:right w:val="none" w:sz="0" w:space="0" w:color="auto"/>
      </w:divBdr>
    </w:div>
    <w:div w:id="194117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1155</Words>
  <Characters>6589</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lpstr>
    </vt:vector>
  </TitlesOfParts>
  <Company>Ministero della Giustizia</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consolandi</dc:creator>
  <cp:keywords/>
  <dc:description/>
  <cp:lastModifiedBy>Francesca Fargnoli</cp:lastModifiedBy>
  <cp:revision>2</cp:revision>
  <cp:lastPrinted>2024-04-10T12:44:00Z</cp:lastPrinted>
  <dcterms:created xsi:type="dcterms:W3CDTF">2024-04-12T09:28:00Z</dcterms:created>
  <dcterms:modified xsi:type="dcterms:W3CDTF">2024-04-12T09:28:00Z</dcterms:modified>
</cp:coreProperties>
</file>